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A425A" w14:textId="77777777" w:rsidR="00C1295C" w:rsidRDefault="00000000">
      <w:pPr>
        <w:tabs>
          <w:tab w:val="left" w:pos="2325"/>
          <w:tab w:val="center" w:pos="4702"/>
        </w:tabs>
        <w:spacing w:after="0" w:line="240" w:lineRule="auto"/>
        <w:rPr>
          <w:rFonts w:ascii="Verdana" w:eastAsia="Verdana" w:hAnsi="Verdana" w:cs="Verdana"/>
          <w:b/>
          <w:sz w:val="20"/>
          <w:szCs w:val="20"/>
        </w:rPr>
      </w:pPr>
      <w:bookmarkStart w:id="0" w:name="_heading=h.30j0zll" w:colFirst="0" w:colLast="0"/>
      <w:bookmarkEnd w:id="0"/>
      <w:r>
        <w:rPr>
          <w:rFonts w:ascii="Tahoma" w:eastAsia="Tahoma" w:hAnsi="Tahoma" w:cs="Tahoma"/>
        </w:rPr>
        <w:tab/>
      </w:r>
      <w:r>
        <w:rPr>
          <w:rFonts w:ascii="Verdana" w:eastAsia="Verdana" w:hAnsi="Verdana" w:cs="Verdana"/>
          <w:sz w:val="20"/>
          <w:szCs w:val="20"/>
        </w:rPr>
        <w:tab/>
      </w:r>
      <w:r>
        <w:rPr>
          <w:rFonts w:ascii="Verdana" w:eastAsia="Verdana" w:hAnsi="Verdana" w:cs="Verdana"/>
          <w:b/>
          <w:sz w:val="20"/>
          <w:szCs w:val="20"/>
        </w:rPr>
        <w:t>MEMORANDO</w:t>
      </w:r>
    </w:p>
    <w:p w14:paraId="45903EDA" w14:textId="77777777" w:rsidR="00C1295C" w:rsidRDefault="00C1295C">
      <w:pPr>
        <w:tabs>
          <w:tab w:val="left" w:pos="2325"/>
          <w:tab w:val="center" w:pos="4702"/>
        </w:tabs>
        <w:spacing w:after="0" w:line="240" w:lineRule="auto"/>
        <w:rPr>
          <w:rFonts w:ascii="Tahoma" w:eastAsia="Tahoma" w:hAnsi="Tahoma" w:cs="Tahoma"/>
          <w:b/>
        </w:rPr>
      </w:pPr>
    </w:p>
    <w:p w14:paraId="49C807F6" w14:textId="77777777" w:rsidR="00C1295C" w:rsidRDefault="00C1295C">
      <w:pPr>
        <w:tabs>
          <w:tab w:val="left" w:pos="2325"/>
          <w:tab w:val="center" w:pos="4702"/>
        </w:tabs>
        <w:spacing w:after="0" w:line="240" w:lineRule="auto"/>
        <w:rPr>
          <w:rFonts w:ascii="Tahoma" w:eastAsia="Tahoma" w:hAnsi="Tahoma" w:cs="Tahoma"/>
        </w:rPr>
      </w:pPr>
    </w:p>
    <w:p w14:paraId="19E64F3F" w14:textId="77777777" w:rsidR="00C1295C" w:rsidRDefault="00000000">
      <w:pPr>
        <w:tabs>
          <w:tab w:val="left" w:pos="2325"/>
          <w:tab w:val="center" w:pos="4702"/>
        </w:tabs>
        <w:spacing w:after="0" w:line="240" w:lineRule="auto"/>
        <w:rPr>
          <w:rFonts w:ascii="Tahoma" w:eastAsia="Tahoma" w:hAnsi="Tahoma" w:cs="Tahoma"/>
          <w:b/>
        </w:rPr>
      </w:pPr>
      <w:bookmarkStart w:id="1" w:name="_heading=h.1fob9te" w:colFirst="0" w:colLast="0"/>
      <w:bookmarkEnd w:id="1"/>
      <w:r>
        <w:rPr>
          <w:rFonts w:ascii="3 of 9 Barcode" w:eastAsia="3 of 9 Barcode" w:hAnsi="3 of 9 Barcode" w:cs="3 of 9 Barcode"/>
          <w:sz w:val="40"/>
          <w:szCs w:val="40"/>
        </w:rPr>
        <w:t>**RAD_S**</w:t>
      </w:r>
    </w:p>
    <w:p w14:paraId="337AE66D" w14:textId="77777777" w:rsidR="00C1295C" w:rsidRDefault="00000000">
      <w:pPr>
        <w:tabs>
          <w:tab w:val="left" w:pos="2325"/>
          <w:tab w:val="center" w:pos="4702"/>
        </w:tabs>
        <w:spacing w:after="0" w:line="240" w:lineRule="auto"/>
        <w:rPr>
          <w:rFonts w:ascii="Verdana" w:eastAsia="Verdana" w:hAnsi="Verdana" w:cs="Verdana"/>
          <w:b/>
          <w:sz w:val="20"/>
          <w:szCs w:val="20"/>
        </w:rPr>
      </w:pPr>
      <w:r>
        <w:rPr>
          <w:rFonts w:ascii="Verdana" w:eastAsia="Verdana" w:hAnsi="Verdana" w:cs="Verdana"/>
          <w:b/>
          <w:sz w:val="20"/>
          <w:szCs w:val="20"/>
        </w:rPr>
        <w:t xml:space="preserve">ICANH – MI </w:t>
      </w:r>
      <w:r>
        <w:rPr>
          <w:rFonts w:ascii="Verdana" w:eastAsia="Verdana" w:hAnsi="Verdana" w:cs="Verdana"/>
          <w:color w:val="141414"/>
          <w:sz w:val="20"/>
          <w:szCs w:val="20"/>
        </w:rPr>
        <w:t>*RAD_S*</w:t>
      </w:r>
      <w:r>
        <w:rPr>
          <w:rFonts w:ascii="Verdana" w:eastAsia="Verdana" w:hAnsi="Verdana" w:cs="Verdana"/>
          <w:b/>
          <w:sz w:val="20"/>
          <w:szCs w:val="20"/>
        </w:rPr>
        <w:t xml:space="preserve"> </w:t>
      </w:r>
    </w:p>
    <w:p w14:paraId="0CE6A277" w14:textId="77777777" w:rsidR="00C1295C" w:rsidRDefault="00C1295C">
      <w:pPr>
        <w:tabs>
          <w:tab w:val="left" w:pos="2325"/>
          <w:tab w:val="center" w:pos="4702"/>
        </w:tabs>
        <w:spacing w:after="0" w:line="240" w:lineRule="auto"/>
        <w:rPr>
          <w:rFonts w:ascii="Verdana" w:eastAsia="Verdana" w:hAnsi="Verdana" w:cs="Verdana"/>
          <w:sz w:val="20"/>
          <w:szCs w:val="20"/>
        </w:rPr>
      </w:pPr>
    </w:p>
    <w:p w14:paraId="06F371EC" w14:textId="77777777" w:rsidR="00C1295C" w:rsidRDefault="00000000">
      <w:pPr>
        <w:spacing w:after="20" w:line="240" w:lineRule="auto"/>
        <w:rPr>
          <w:rFonts w:ascii="Verdana" w:eastAsia="Verdana" w:hAnsi="Verdana" w:cs="Verdana"/>
          <w:sz w:val="20"/>
          <w:szCs w:val="20"/>
        </w:rPr>
      </w:pPr>
      <w:r>
        <w:rPr>
          <w:rFonts w:ascii="Verdana" w:eastAsia="Verdana" w:hAnsi="Verdana" w:cs="Verdana"/>
          <w:sz w:val="20"/>
          <w:szCs w:val="20"/>
        </w:rPr>
        <w:t>Bogotá D.C., *F_HOY_CORTO*</w:t>
      </w:r>
    </w:p>
    <w:p w14:paraId="4466112C" w14:textId="77777777" w:rsidR="00C1295C" w:rsidRDefault="00C1295C">
      <w:pPr>
        <w:tabs>
          <w:tab w:val="left" w:pos="2325"/>
          <w:tab w:val="center" w:pos="4702"/>
        </w:tabs>
        <w:spacing w:after="0" w:line="240" w:lineRule="auto"/>
        <w:rPr>
          <w:rFonts w:ascii="Verdana" w:eastAsia="Verdana" w:hAnsi="Verdana" w:cs="Verdana"/>
          <w:sz w:val="20"/>
          <w:szCs w:val="20"/>
        </w:rPr>
      </w:pPr>
    </w:p>
    <w:p w14:paraId="1AADA5CB" w14:textId="77777777" w:rsidR="00C1295C" w:rsidRDefault="00C1295C">
      <w:pPr>
        <w:tabs>
          <w:tab w:val="left" w:pos="2325"/>
          <w:tab w:val="center" w:pos="4702"/>
        </w:tabs>
        <w:spacing w:after="0" w:line="240" w:lineRule="auto"/>
        <w:rPr>
          <w:rFonts w:ascii="Verdana" w:eastAsia="Verdana" w:hAnsi="Verdana" w:cs="Verdana"/>
          <w:sz w:val="20"/>
          <w:szCs w:val="20"/>
        </w:rPr>
      </w:pPr>
    </w:p>
    <w:p w14:paraId="12BE2A4D" w14:textId="6653685A" w:rsidR="00C1295C" w:rsidRDefault="00000000">
      <w:pPr>
        <w:ind w:left="1410" w:hanging="1410"/>
        <w:jc w:val="both"/>
        <w:rPr>
          <w:rFonts w:ascii="Verdana" w:eastAsia="Verdana" w:hAnsi="Verdana" w:cs="Verdana"/>
          <w:sz w:val="20"/>
          <w:szCs w:val="20"/>
        </w:rPr>
      </w:pPr>
      <w:r>
        <w:rPr>
          <w:rFonts w:ascii="Verdana" w:eastAsia="Verdana" w:hAnsi="Verdana" w:cs="Verdana"/>
          <w:b/>
          <w:sz w:val="20"/>
          <w:szCs w:val="20"/>
        </w:rPr>
        <w:t xml:space="preserve">PARA: </w:t>
      </w:r>
      <w:r w:rsidR="00C31D82">
        <w:rPr>
          <w:rFonts w:ascii="Verdana" w:eastAsia="Verdana" w:hAnsi="Verdana" w:cs="Verdana"/>
          <w:b/>
          <w:sz w:val="20"/>
          <w:szCs w:val="20"/>
        </w:rPr>
        <w:tab/>
      </w:r>
      <w:r w:rsidR="00C31D82">
        <w:rPr>
          <w:rFonts w:ascii="Verdana" w:eastAsia="Verdana" w:hAnsi="Verdana" w:cs="Verdana"/>
          <w:sz w:val="20"/>
          <w:szCs w:val="20"/>
        </w:rPr>
        <w:t>Ana Silvia Olano Aponte</w:t>
      </w:r>
    </w:p>
    <w:p w14:paraId="24697F60" w14:textId="28D72162" w:rsidR="00C1295C" w:rsidRDefault="00000000">
      <w:pPr>
        <w:ind w:left="1410" w:hanging="1410"/>
        <w:jc w:val="both"/>
        <w:rPr>
          <w:rFonts w:ascii="Verdana" w:eastAsia="Verdana" w:hAnsi="Verdana" w:cs="Verdana"/>
          <w:sz w:val="20"/>
          <w:szCs w:val="20"/>
        </w:rPr>
      </w:pPr>
      <w:r>
        <w:rPr>
          <w:rFonts w:ascii="Verdana" w:eastAsia="Verdana" w:hAnsi="Verdana" w:cs="Verdana"/>
          <w:sz w:val="20"/>
          <w:szCs w:val="20"/>
        </w:rPr>
        <w:t xml:space="preserve">           </w:t>
      </w:r>
      <w:r w:rsidR="00C31D82">
        <w:rPr>
          <w:rFonts w:ascii="Verdana" w:eastAsia="Verdana" w:hAnsi="Verdana" w:cs="Verdana"/>
          <w:sz w:val="20"/>
          <w:szCs w:val="20"/>
        </w:rPr>
        <w:tab/>
        <w:t>Secretaria General</w:t>
      </w:r>
    </w:p>
    <w:p w14:paraId="7E485093" w14:textId="77777777" w:rsidR="00C1295C" w:rsidRDefault="00C1295C">
      <w:pPr>
        <w:tabs>
          <w:tab w:val="left" w:pos="2325"/>
          <w:tab w:val="center" w:pos="4702"/>
        </w:tabs>
        <w:spacing w:after="0" w:line="240" w:lineRule="auto"/>
        <w:rPr>
          <w:rFonts w:ascii="Verdana" w:eastAsia="Verdana" w:hAnsi="Verdana" w:cs="Verdana"/>
          <w:sz w:val="20"/>
          <w:szCs w:val="20"/>
        </w:rPr>
      </w:pPr>
    </w:p>
    <w:p w14:paraId="37481B47" w14:textId="068ABCA7" w:rsidR="00C1295C" w:rsidRDefault="00000000" w:rsidP="00C31D82">
      <w:pPr>
        <w:tabs>
          <w:tab w:val="left" w:pos="1418"/>
          <w:tab w:val="center" w:pos="4702"/>
        </w:tabs>
        <w:spacing w:after="0" w:line="240" w:lineRule="auto"/>
        <w:rPr>
          <w:rFonts w:ascii="Verdana" w:eastAsia="Verdana" w:hAnsi="Verdana" w:cs="Verdana"/>
          <w:b/>
          <w:sz w:val="20"/>
          <w:szCs w:val="20"/>
        </w:rPr>
      </w:pPr>
      <w:r>
        <w:rPr>
          <w:rFonts w:ascii="Verdana" w:eastAsia="Verdana" w:hAnsi="Verdana" w:cs="Verdana"/>
          <w:b/>
          <w:sz w:val="20"/>
          <w:szCs w:val="20"/>
        </w:rPr>
        <w:t xml:space="preserve">DE: </w:t>
      </w:r>
      <w:r w:rsidR="00C31D82">
        <w:rPr>
          <w:rFonts w:ascii="Verdana" w:eastAsia="Verdana" w:hAnsi="Verdana" w:cs="Verdana"/>
          <w:sz w:val="20"/>
          <w:szCs w:val="20"/>
        </w:rPr>
        <w:t xml:space="preserve"> </w:t>
      </w:r>
      <w:r w:rsidR="00C31D82">
        <w:rPr>
          <w:rFonts w:ascii="Verdana" w:eastAsia="Verdana" w:hAnsi="Verdana" w:cs="Verdana"/>
          <w:sz w:val="20"/>
          <w:szCs w:val="20"/>
        </w:rPr>
        <w:tab/>
        <w:t>Oficina de Control Interno</w:t>
      </w:r>
    </w:p>
    <w:p w14:paraId="644B40A4" w14:textId="77777777" w:rsidR="00C1295C" w:rsidRDefault="00C1295C">
      <w:pPr>
        <w:tabs>
          <w:tab w:val="left" w:pos="2325"/>
          <w:tab w:val="center" w:pos="4702"/>
        </w:tabs>
        <w:spacing w:after="0" w:line="240" w:lineRule="auto"/>
        <w:rPr>
          <w:rFonts w:ascii="Verdana" w:eastAsia="Verdana" w:hAnsi="Verdana" w:cs="Verdana"/>
          <w:sz w:val="20"/>
          <w:szCs w:val="20"/>
        </w:rPr>
      </w:pPr>
    </w:p>
    <w:p w14:paraId="35FBC937" w14:textId="5692D11F" w:rsidR="00C1295C" w:rsidRDefault="00000000" w:rsidP="00C31D82">
      <w:pPr>
        <w:tabs>
          <w:tab w:val="left" w:pos="2325"/>
          <w:tab w:val="center" w:pos="4702"/>
        </w:tabs>
        <w:spacing w:after="0" w:line="240" w:lineRule="auto"/>
        <w:jc w:val="both"/>
        <w:rPr>
          <w:rFonts w:ascii="Verdana" w:eastAsia="Verdana" w:hAnsi="Verdana" w:cs="Verdana"/>
          <w:b/>
          <w:sz w:val="20"/>
          <w:szCs w:val="20"/>
        </w:rPr>
      </w:pPr>
      <w:r>
        <w:rPr>
          <w:rFonts w:ascii="Verdana" w:eastAsia="Verdana" w:hAnsi="Verdana" w:cs="Verdana"/>
          <w:b/>
          <w:sz w:val="20"/>
          <w:szCs w:val="20"/>
        </w:rPr>
        <w:t xml:space="preserve">ASUNTO: </w:t>
      </w:r>
      <w:r w:rsidR="00C31D82">
        <w:rPr>
          <w:rFonts w:ascii="Verdana" w:eastAsia="Verdana" w:hAnsi="Verdana" w:cs="Verdana"/>
          <w:sz w:val="20"/>
          <w:szCs w:val="20"/>
        </w:rPr>
        <w:t>Respuesta a las observaciones realizadas en el marco del seguimiento realizado a la apertura y primer arqueo de la Caja Menor para la vigencia 2026</w:t>
      </w:r>
    </w:p>
    <w:p w14:paraId="17632391" w14:textId="77777777" w:rsidR="00C1295C" w:rsidRDefault="00C1295C">
      <w:pPr>
        <w:tabs>
          <w:tab w:val="left" w:pos="2325"/>
          <w:tab w:val="center" w:pos="4702"/>
        </w:tabs>
        <w:spacing w:after="0" w:line="240" w:lineRule="auto"/>
        <w:rPr>
          <w:rFonts w:ascii="Verdana" w:eastAsia="Verdana" w:hAnsi="Verdana" w:cs="Verdana"/>
          <w:sz w:val="20"/>
          <w:szCs w:val="20"/>
        </w:rPr>
      </w:pPr>
    </w:p>
    <w:p w14:paraId="51582A52" w14:textId="2BEB8398" w:rsidR="00C1295C" w:rsidRDefault="00C31D82">
      <w:pPr>
        <w:tabs>
          <w:tab w:val="left" w:pos="2325"/>
          <w:tab w:val="center" w:pos="4702"/>
        </w:tabs>
        <w:spacing w:after="0" w:line="240" w:lineRule="auto"/>
        <w:rPr>
          <w:rFonts w:ascii="Verdana" w:eastAsia="Verdana" w:hAnsi="Verdana" w:cs="Verdana"/>
          <w:sz w:val="20"/>
          <w:szCs w:val="20"/>
        </w:rPr>
      </w:pPr>
      <w:r>
        <w:rPr>
          <w:rFonts w:ascii="Verdana" w:eastAsia="Verdana" w:hAnsi="Verdana" w:cs="Verdana"/>
          <w:sz w:val="20"/>
          <w:szCs w:val="20"/>
        </w:rPr>
        <w:t>Buen día estimada Ana Silvia,</w:t>
      </w:r>
    </w:p>
    <w:p w14:paraId="429BB173" w14:textId="77777777" w:rsidR="00C31D82" w:rsidRDefault="00C31D82">
      <w:pPr>
        <w:tabs>
          <w:tab w:val="left" w:pos="2325"/>
          <w:tab w:val="center" w:pos="4702"/>
        </w:tabs>
        <w:spacing w:after="0" w:line="240" w:lineRule="auto"/>
        <w:rPr>
          <w:rFonts w:ascii="Verdana" w:eastAsia="Verdana" w:hAnsi="Verdana" w:cs="Verdana"/>
          <w:sz w:val="20"/>
          <w:szCs w:val="20"/>
        </w:rPr>
      </w:pPr>
    </w:p>
    <w:p w14:paraId="10501DA3" w14:textId="74DDA14E" w:rsidR="00C31D82" w:rsidRPr="00C31D82" w:rsidRDefault="00C31D82" w:rsidP="00C31D82">
      <w:pPr>
        <w:tabs>
          <w:tab w:val="left" w:pos="2325"/>
          <w:tab w:val="center" w:pos="4702"/>
        </w:tabs>
        <w:spacing w:after="0" w:line="240" w:lineRule="auto"/>
        <w:jc w:val="both"/>
        <w:rPr>
          <w:rFonts w:ascii="Verdana" w:eastAsia="Verdana" w:hAnsi="Verdana" w:cs="Verdana"/>
          <w:sz w:val="20"/>
          <w:szCs w:val="20"/>
        </w:rPr>
      </w:pPr>
      <w:r w:rsidRPr="00C31D82">
        <w:rPr>
          <w:rFonts w:ascii="Verdana" w:eastAsia="Verdana" w:hAnsi="Verdana" w:cs="Verdana"/>
          <w:sz w:val="20"/>
          <w:szCs w:val="20"/>
        </w:rPr>
        <w:t xml:space="preserve">En atención a la respuesta remitida </w:t>
      </w:r>
      <w:r>
        <w:rPr>
          <w:rFonts w:ascii="Verdana" w:eastAsia="Verdana" w:hAnsi="Verdana" w:cs="Verdana"/>
          <w:sz w:val="20"/>
          <w:szCs w:val="20"/>
        </w:rPr>
        <w:t>con anterioridad,</w:t>
      </w:r>
      <w:r w:rsidRPr="00C31D82">
        <w:rPr>
          <w:rFonts w:ascii="Verdana" w:eastAsia="Verdana" w:hAnsi="Verdana" w:cs="Verdana"/>
          <w:sz w:val="20"/>
          <w:szCs w:val="20"/>
        </w:rPr>
        <w:t xml:space="preserve"> frente al informe preliminar de apertura y primer arqueo de caja menor – vigencia 2026, la Oficina de Control Interno se permite presentar las siguientes precisiones respecto del hallazgo relacionado con la diferencia evidenciada en el arqueo:</w:t>
      </w:r>
    </w:p>
    <w:p w14:paraId="6C8DBE5E" w14:textId="77777777" w:rsidR="00C31D82" w:rsidRPr="00C31D82" w:rsidRDefault="00C31D82" w:rsidP="00C31D82">
      <w:pPr>
        <w:tabs>
          <w:tab w:val="left" w:pos="2325"/>
          <w:tab w:val="center" w:pos="4702"/>
        </w:tabs>
        <w:spacing w:after="0" w:line="240" w:lineRule="auto"/>
        <w:jc w:val="both"/>
        <w:rPr>
          <w:rFonts w:ascii="Verdana" w:eastAsia="Verdana" w:hAnsi="Verdana" w:cs="Verdana"/>
          <w:sz w:val="20"/>
          <w:szCs w:val="20"/>
        </w:rPr>
      </w:pPr>
    </w:p>
    <w:p w14:paraId="14CD1948" w14:textId="77777777" w:rsidR="00C31D82" w:rsidRPr="00C31D82" w:rsidRDefault="00C31D82" w:rsidP="00C31D82">
      <w:pPr>
        <w:tabs>
          <w:tab w:val="left" w:pos="2325"/>
          <w:tab w:val="center" w:pos="4702"/>
        </w:tabs>
        <w:spacing w:after="0" w:line="240" w:lineRule="auto"/>
        <w:jc w:val="both"/>
        <w:rPr>
          <w:rFonts w:ascii="Verdana" w:eastAsia="Verdana" w:hAnsi="Verdana" w:cs="Verdana"/>
          <w:sz w:val="20"/>
          <w:szCs w:val="20"/>
        </w:rPr>
      </w:pPr>
      <w:r w:rsidRPr="00C31D82">
        <w:rPr>
          <w:rFonts w:ascii="Verdana" w:eastAsia="Verdana" w:hAnsi="Verdana" w:cs="Verdana"/>
          <w:sz w:val="20"/>
          <w:szCs w:val="20"/>
        </w:rPr>
        <w:t>Si bien se indica que la situación corresponde a una diferencia de carácter temporal y sin impacto material en la información financiera, es importante señalar que la evaluación realizada por la Oficina de Control Interno no se fundamenta en criterios de materialidad contable, sino en la verificación del cumplimiento de los procedimientos internos y la efectividad de los controles establecidos para la administración de los recursos.</w:t>
      </w:r>
    </w:p>
    <w:p w14:paraId="1B4F9FD2" w14:textId="77777777" w:rsidR="00C31D82" w:rsidRPr="00C31D82" w:rsidRDefault="00C31D82" w:rsidP="00C31D82">
      <w:pPr>
        <w:tabs>
          <w:tab w:val="left" w:pos="2325"/>
          <w:tab w:val="center" w:pos="4702"/>
        </w:tabs>
        <w:spacing w:after="0" w:line="240" w:lineRule="auto"/>
        <w:jc w:val="both"/>
        <w:rPr>
          <w:rFonts w:ascii="Verdana" w:eastAsia="Verdana" w:hAnsi="Verdana" w:cs="Verdana"/>
          <w:sz w:val="20"/>
          <w:szCs w:val="20"/>
        </w:rPr>
      </w:pPr>
    </w:p>
    <w:p w14:paraId="58B30BC3" w14:textId="77777777" w:rsidR="00C31D82" w:rsidRPr="00C31D82" w:rsidRDefault="00C31D82" w:rsidP="00C31D82">
      <w:pPr>
        <w:tabs>
          <w:tab w:val="left" w:pos="2325"/>
          <w:tab w:val="center" w:pos="4702"/>
        </w:tabs>
        <w:spacing w:after="0" w:line="240" w:lineRule="auto"/>
        <w:jc w:val="both"/>
        <w:rPr>
          <w:rFonts w:ascii="Verdana" w:eastAsia="Verdana" w:hAnsi="Verdana" w:cs="Verdana"/>
          <w:sz w:val="20"/>
          <w:szCs w:val="20"/>
        </w:rPr>
      </w:pPr>
      <w:r w:rsidRPr="00C31D82">
        <w:rPr>
          <w:rFonts w:ascii="Verdana" w:eastAsia="Verdana" w:hAnsi="Verdana" w:cs="Verdana"/>
          <w:sz w:val="20"/>
          <w:szCs w:val="20"/>
        </w:rPr>
        <w:t>En este sentido, se evidenció un incumplimiento del procedimiento de caja menor, en tanto el desembolso efectuado no correspondió al valor autorizado en el respectivo vale. Así mismo, se identificó una debilidad en la trazabilidad del recurso, dado que en el formato “GAL-PR-04-FO-02 Planilla control entrega recursos” no se registró el valor efectivamente entregado ($100.000), sino el valor inicialmente aprobado ($90.000), lo que impide reflejar la realidad de la operación.</w:t>
      </w:r>
    </w:p>
    <w:p w14:paraId="67D714D3" w14:textId="77777777" w:rsidR="00C31D82" w:rsidRPr="00C31D82" w:rsidRDefault="00C31D82" w:rsidP="00C31D82">
      <w:pPr>
        <w:tabs>
          <w:tab w:val="left" w:pos="2325"/>
          <w:tab w:val="center" w:pos="4702"/>
        </w:tabs>
        <w:spacing w:after="0" w:line="240" w:lineRule="auto"/>
        <w:jc w:val="both"/>
        <w:rPr>
          <w:rFonts w:ascii="Verdana" w:eastAsia="Verdana" w:hAnsi="Verdana" w:cs="Verdana"/>
          <w:sz w:val="20"/>
          <w:szCs w:val="20"/>
        </w:rPr>
      </w:pPr>
    </w:p>
    <w:p w14:paraId="4146CC74" w14:textId="77777777" w:rsidR="00C31D82" w:rsidRPr="00C31D82" w:rsidRDefault="00C31D82" w:rsidP="00C31D82">
      <w:pPr>
        <w:tabs>
          <w:tab w:val="left" w:pos="2325"/>
          <w:tab w:val="center" w:pos="4702"/>
        </w:tabs>
        <w:spacing w:after="0" w:line="240" w:lineRule="auto"/>
        <w:jc w:val="both"/>
        <w:rPr>
          <w:rFonts w:ascii="Verdana" w:eastAsia="Verdana" w:hAnsi="Verdana" w:cs="Verdana"/>
          <w:sz w:val="20"/>
          <w:szCs w:val="20"/>
        </w:rPr>
      </w:pPr>
      <w:r w:rsidRPr="00C31D82">
        <w:rPr>
          <w:rFonts w:ascii="Verdana" w:eastAsia="Verdana" w:hAnsi="Verdana" w:cs="Verdana"/>
          <w:sz w:val="20"/>
          <w:szCs w:val="20"/>
        </w:rPr>
        <w:t>En consecuencia, durante el momento del arqueo no se contó con soporte que permitiera evidenciar la diferencia presentada, configurándose una inconsistencia frente a los controles definidos para el manejo de la caja menor.</w:t>
      </w:r>
    </w:p>
    <w:p w14:paraId="541E43E6" w14:textId="77777777" w:rsidR="00C31D82" w:rsidRPr="00C31D82" w:rsidRDefault="00C31D82" w:rsidP="00C31D82">
      <w:pPr>
        <w:tabs>
          <w:tab w:val="left" w:pos="2325"/>
          <w:tab w:val="center" w:pos="4702"/>
        </w:tabs>
        <w:spacing w:after="0" w:line="240" w:lineRule="auto"/>
        <w:jc w:val="both"/>
        <w:rPr>
          <w:rFonts w:ascii="Verdana" w:eastAsia="Verdana" w:hAnsi="Verdana" w:cs="Verdana"/>
          <w:sz w:val="20"/>
          <w:szCs w:val="20"/>
        </w:rPr>
      </w:pPr>
    </w:p>
    <w:p w14:paraId="281FAC84" w14:textId="77777777" w:rsidR="00C31D82" w:rsidRPr="00C31D82" w:rsidRDefault="00C31D82" w:rsidP="00C31D82">
      <w:pPr>
        <w:tabs>
          <w:tab w:val="left" w:pos="2325"/>
          <w:tab w:val="center" w:pos="4702"/>
        </w:tabs>
        <w:spacing w:after="0" w:line="240" w:lineRule="auto"/>
        <w:jc w:val="both"/>
        <w:rPr>
          <w:rFonts w:ascii="Verdana" w:eastAsia="Verdana" w:hAnsi="Verdana" w:cs="Verdana"/>
          <w:sz w:val="20"/>
          <w:szCs w:val="20"/>
        </w:rPr>
      </w:pPr>
      <w:r w:rsidRPr="00C31D82">
        <w:rPr>
          <w:rFonts w:ascii="Verdana" w:eastAsia="Verdana" w:hAnsi="Verdana" w:cs="Verdana"/>
          <w:sz w:val="20"/>
          <w:szCs w:val="20"/>
        </w:rPr>
        <w:t xml:space="preserve">Bajo este contexto, la Oficina de Control Interno considera que la situación identificada no se limita a un </w:t>
      </w:r>
      <w:r w:rsidRPr="00C31D82">
        <w:rPr>
          <w:rFonts w:ascii="Verdana" w:eastAsia="Verdana" w:hAnsi="Verdana" w:cs="Verdana"/>
          <w:sz w:val="20"/>
          <w:szCs w:val="20"/>
        </w:rPr>
        <w:lastRenderedPageBreak/>
        <w:t>aspecto formal o documental, sino que corresponde a una debilidad en la aplicación de controles, razón por la cual se mantiene su clasificación como hallazgo.</w:t>
      </w:r>
    </w:p>
    <w:p w14:paraId="622A1540" w14:textId="77777777" w:rsidR="00C31D82" w:rsidRPr="00C31D82" w:rsidRDefault="00C31D82" w:rsidP="00C31D82">
      <w:pPr>
        <w:tabs>
          <w:tab w:val="left" w:pos="2325"/>
          <w:tab w:val="center" w:pos="4702"/>
        </w:tabs>
        <w:spacing w:after="0" w:line="240" w:lineRule="auto"/>
        <w:jc w:val="both"/>
        <w:rPr>
          <w:rFonts w:ascii="Verdana" w:eastAsia="Verdana" w:hAnsi="Verdana" w:cs="Verdana"/>
          <w:sz w:val="20"/>
          <w:szCs w:val="20"/>
        </w:rPr>
      </w:pPr>
    </w:p>
    <w:p w14:paraId="7B8B0DF3" w14:textId="037E152A" w:rsidR="00C1295C" w:rsidRDefault="00C31D82" w:rsidP="00C31D82">
      <w:pPr>
        <w:tabs>
          <w:tab w:val="left" w:pos="2325"/>
          <w:tab w:val="center" w:pos="4702"/>
        </w:tabs>
        <w:spacing w:after="0" w:line="240" w:lineRule="auto"/>
        <w:jc w:val="both"/>
        <w:rPr>
          <w:rFonts w:ascii="Verdana" w:eastAsia="Verdana" w:hAnsi="Verdana" w:cs="Verdana"/>
          <w:sz w:val="20"/>
          <w:szCs w:val="20"/>
        </w:rPr>
      </w:pPr>
      <w:r w:rsidRPr="00C31D82">
        <w:rPr>
          <w:rFonts w:ascii="Verdana" w:eastAsia="Verdana" w:hAnsi="Verdana" w:cs="Verdana"/>
          <w:sz w:val="20"/>
          <w:szCs w:val="20"/>
        </w:rPr>
        <w:t>No obstante, se valora la disposición de la Secretaría General para fortalecer los controles asociados, por lo cual se considera pertinente la implementación de las acciones propuestas, especialmente en lo relacionado con la verificación previa de efectivo disponible, el registro oportuno de novedades y la sensibilización del responsable de caja menor, con el fin de prevenir la recurrencia de situaciones similares.</w:t>
      </w:r>
    </w:p>
    <w:p w14:paraId="20A30B5B" w14:textId="77777777" w:rsidR="00C1295C" w:rsidRDefault="00C1295C">
      <w:pPr>
        <w:tabs>
          <w:tab w:val="left" w:pos="2325"/>
          <w:tab w:val="center" w:pos="4702"/>
        </w:tabs>
        <w:spacing w:after="0" w:line="240" w:lineRule="auto"/>
        <w:rPr>
          <w:rFonts w:ascii="Verdana" w:eastAsia="Verdana" w:hAnsi="Verdana" w:cs="Verdana"/>
          <w:sz w:val="20"/>
          <w:szCs w:val="20"/>
        </w:rPr>
      </w:pPr>
    </w:p>
    <w:p w14:paraId="29F76113" w14:textId="77777777" w:rsidR="00C1295C" w:rsidRDefault="00C1295C">
      <w:pPr>
        <w:tabs>
          <w:tab w:val="left" w:pos="2325"/>
          <w:tab w:val="center" w:pos="4702"/>
        </w:tabs>
        <w:spacing w:after="0" w:line="240" w:lineRule="auto"/>
        <w:rPr>
          <w:rFonts w:ascii="Verdana" w:eastAsia="Verdana" w:hAnsi="Verdana" w:cs="Verdana"/>
          <w:sz w:val="20"/>
          <w:szCs w:val="20"/>
        </w:rPr>
      </w:pPr>
    </w:p>
    <w:p w14:paraId="1253E687" w14:textId="77777777" w:rsidR="00C1295C" w:rsidRDefault="00000000">
      <w:pPr>
        <w:tabs>
          <w:tab w:val="left" w:pos="2325"/>
          <w:tab w:val="center" w:pos="4702"/>
        </w:tabs>
        <w:spacing w:after="0" w:line="240" w:lineRule="auto"/>
        <w:rPr>
          <w:rFonts w:ascii="Verdana" w:eastAsia="Verdana" w:hAnsi="Verdana" w:cs="Verdana"/>
          <w:sz w:val="20"/>
          <w:szCs w:val="20"/>
        </w:rPr>
      </w:pPr>
      <w:r>
        <w:rPr>
          <w:rFonts w:ascii="Verdana" w:eastAsia="Verdana" w:hAnsi="Verdana" w:cs="Verdana"/>
          <w:sz w:val="20"/>
          <w:szCs w:val="20"/>
        </w:rPr>
        <w:t>Atentamente,</w:t>
      </w:r>
    </w:p>
    <w:p w14:paraId="37BF8D9A" w14:textId="77777777" w:rsidR="00C1295C" w:rsidRDefault="00C1295C">
      <w:pPr>
        <w:tabs>
          <w:tab w:val="left" w:pos="2325"/>
          <w:tab w:val="center" w:pos="4702"/>
        </w:tabs>
        <w:spacing w:after="0" w:line="240" w:lineRule="auto"/>
        <w:rPr>
          <w:rFonts w:ascii="Verdana" w:eastAsia="Verdana" w:hAnsi="Verdana" w:cs="Verdana"/>
          <w:sz w:val="20"/>
          <w:szCs w:val="20"/>
        </w:rPr>
      </w:pPr>
    </w:p>
    <w:p w14:paraId="4AA82E80" w14:textId="77777777" w:rsidR="00C1295C" w:rsidRDefault="00C1295C">
      <w:pPr>
        <w:tabs>
          <w:tab w:val="left" w:pos="2325"/>
          <w:tab w:val="center" w:pos="4702"/>
        </w:tabs>
        <w:spacing w:after="0" w:line="240" w:lineRule="auto"/>
        <w:rPr>
          <w:rFonts w:ascii="Verdana" w:eastAsia="Verdana" w:hAnsi="Verdana" w:cs="Verdana"/>
          <w:sz w:val="20"/>
          <w:szCs w:val="20"/>
        </w:rPr>
      </w:pPr>
    </w:p>
    <w:p w14:paraId="310CD15F" w14:textId="77777777" w:rsidR="00C1295C" w:rsidRDefault="00C1295C">
      <w:pPr>
        <w:tabs>
          <w:tab w:val="left" w:pos="2325"/>
          <w:tab w:val="center" w:pos="4702"/>
        </w:tabs>
        <w:spacing w:after="0" w:line="240" w:lineRule="auto"/>
        <w:rPr>
          <w:rFonts w:ascii="Verdana" w:eastAsia="Verdana" w:hAnsi="Verdana" w:cs="Verdana"/>
          <w:sz w:val="20"/>
          <w:szCs w:val="20"/>
        </w:rPr>
      </w:pPr>
    </w:p>
    <w:p w14:paraId="53C9006D" w14:textId="77777777" w:rsidR="00C1295C" w:rsidRDefault="00C1295C">
      <w:pPr>
        <w:tabs>
          <w:tab w:val="left" w:pos="2325"/>
          <w:tab w:val="center" w:pos="4702"/>
        </w:tabs>
        <w:spacing w:after="0" w:line="240" w:lineRule="auto"/>
        <w:rPr>
          <w:rFonts w:ascii="Verdana" w:eastAsia="Verdana" w:hAnsi="Verdana" w:cs="Verdana"/>
          <w:sz w:val="20"/>
          <w:szCs w:val="20"/>
        </w:rPr>
      </w:pPr>
    </w:p>
    <w:p w14:paraId="61224A69" w14:textId="3DA93856" w:rsidR="00C1295C" w:rsidRDefault="00C31D82">
      <w:pPr>
        <w:spacing w:after="0" w:line="276" w:lineRule="auto"/>
        <w:jc w:val="both"/>
        <w:rPr>
          <w:rFonts w:ascii="Verdana" w:eastAsia="Verdana" w:hAnsi="Verdana" w:cs="Verdana"/>
          <w:b/>
          <w:sz w:val="20"/>
          <w:szCs w:val="20"/>
        </w:rPr>
      </w:pPr>
      <w:r>
        <w:rPr>
          <w:rFonts w:ascii="Verdana" w:eastAsia="Verdana" w:hAnsi="Verdana" w:cs="Verdana"/>
          <w:b/>
          <w:sz w:val="20"/>
          <w:szCs w:val="20"/>
        </w:rPr>
        <w:t>Myriam Yolanda Carrillo Moncada</w:t>
      </w:r>
    </w:p>
    <w:p w14:paraId="7B8D7ECC" w14:textId="74234C03" w:rsidR="00C1295C" w:rsidRDefault="00C31D82">
      <w:pPr>
        <w:spacing w:after="0" w:line="276" w:lineRule="auto"/>
        <w:jc w:val="both"/>
        <w:rPr>
          <w:rFonts w:ascii="Verdana" w:eastAsia="Verdana" w:hAnsi="Verdana" w:cs="Verdana"/>
          <w:sz w:val="20"/>
          <w:szCs w:val="20"/>
        </w:rPr>
      </w:pPr>
      <w:r>
        <w:rPr>
          <w:rFonts w:ascii="Verdana" w:eastAsia="Verdana" w:hAnsi="Verdana" w:cs="Verdana"/>
          <w:sz w:val="20"/>
          <w:szCs w:val="20"/>
        </w:rPr>
        <w:t>Profesional Especializada</w:t>
      </w:r>
    </w:p>
    <w:p w14:paraId="7E466472" w14:textId="485BE441" w:rsidR="00C1295C" w:rsidRDefault="00C31D82">
      <w:pPr>
        <w:spacing w:after="0" w:line="276" w:lineRule="auto"/>
        <w:jc w:val="both"/>
        <w:rPr>
          <w:rFonts w:ascii="Verdana" w:eastAsia="Verdana" w:hAnsi="Verdana" w:cs="Verdana"/>
          <w:sz w:val="20"/>
          <w:szCs w:val="20"/>
        </w:rPr>
      </w:pPr>
      <w:r>
        <w:rPr>
          <w:rFonts w:ascii="Verdana" w:eastAsia="Verdana" w:hAnsi="Verdana" w:cs="Verdana"/>
          <w:sz w:val="20"/>
          <w:szCs w:val="20"/>
        </w:rPr>
        <w:t>Oficina de Control Interno</w:t>
      </w:r>
    </w:p>
    <w:p w14:paraId="6D8871DB" w14:textId="77777777" w:rsidR="00C1295C" w:rsidRDefault="00C1295C">
      <w:pPr>
        <w:tabs>
          <w:tab w:val="left" w:pos="2325"/>
          <w:tab w:val="center" w:pos="4702"/>
        </w:tabs>
        <w:spacing w:after="0" w:line="240" w:lineRule="auto"/>
        <w:rPr>
          <w:rFonts w:ascii="Verdana" w:eastAsia="Verdana" w:hAnsi="Verdana" w:cs="Verdana"/>
          <w:sz w:val="20"/>
          <w:szCs w:val="20"/>
        </w:rPr>
      </w:pPr>
    </w:p>
    <w:p w14:paraId="2684D5EC" w14:textId="77777777" w:rsidR="00C1295C" w:rsidRDefault="00C1295C">
      <w:pPr>
        <w:tabs>
          <w:tab w:val="left" w:pos="2325"/>
          <w:tab w:val="center" w:pos="4702"/>
        </w:tabs>
        <w:spacing w:after="0" w:line="240" w:lineRule="auto"/>
        <w:rPr>
          <w:rFonts w:ascii="Verdana" w:eastAsia="Verdana" w:hAnsi="Verdana" w:cs="Verdana"/>
          <w:sz w:val="20"/>
          <w:szCs w:val="20"/>
        </w:rPr>
      </w:pPr>
    </w:p>
    <w:p w14:paraId="510F7FD9" w14:textId="77777777" w:rsidR="00C1295C" w:rsidRDefault="00C1295C">
      <w:pPr>
        <w:tabs>
          <w:tab w:val="left" w:pos="2325"/>
          <w:tab w:val="center" w:pos="4702"/>
        </w:tabs>
        <w:spacing w:after="0" w:line="240" w:lineRule="auto"/>
        <w:rPr>
          <w:rFonts w:ascii="Verdana" w:eastAsia="Verdana" w:hAnsi="Verdana" w:cs="Verdana"/>
          <w:sz w:val="20"/>
          <w:szCs w:val="20"/>
        </w:rPr>
      </w:pPr>
    </w:p>
    <w:p w14:paraId="2CFD63F1" w14:textId="1D91DB7C" w:rsidR="00C1295C" w:rsidRDefault="00000000">
      <w:pPr>
        <w:tabs>
          <w:tab w:val="left" w:pos="2325"/>
          <w:tab w:val="center" w:pos="4702"/>
        </w:tabs>
        <w:spacing w:after="0" w:line="240" w:lineRule="auto"/>
        <w:rPr>
          <w:rFonts w:ascii="Verdana" w:eastAsia="Verdana" w:hAnsi="Verdana" w:cs="Verdana"/>
          <w:sz w:val="20"/>
          <w:szCs w:val="20"/>
        </w:rPr>
      </w:pPr>
      <w:r>
        <w:rPr>
          <w:rFonts w:ascii="Verdana" w:eastAsia="Verdana" w:hAnsi="Verdana" w:cs="Verdana"/>
          <w:sz w:val="20"/>
          <w:szCs w:val="20"/>
        </w:rPr>
        <w:t>Transcriptor:</w:t>
      </w:r>
      <w:r w:rsidR="00C31D82">
        <w:rPr>
          <w:rFonts w:ascii="Verdana" w:eastAsia="Verdana" w:hAnsi="Verdana" w:cs="Verdana"/>
          <w:sz w:val="20"/>
          <w:szCs w:val="20"/>
        </w:rPr>
        <w:t xml:space="preserve"> </w:t>
      </w:r>
      <w:r w:rsidR="00C31D82" w:rsidRPr="00C31D82">
        <w:rPr>
          <w:rFonts w:ascii="Verdana" w:eastAsia="Verdana" w:hAnsi="Verdana" w:cs="Verdana"/>
          <w:sz w:val="20"/>
          <w:szCs w:val="20"/>
        </w:rPr>
        <w:t>LAURA VANESSA ORJUELA BARAHONA</w:t>
      </w:r>
      <w:r w:rsidR="00C31D82">
        <w:rPr>
          <w:rFonts w:ascii="Verdana" w:eastAsia="Verdana" w:hAnsi="Verdana" w:cs="Verdana"/>
          <w:sz w:val="20"/>
          <w:szCs w:val="20"/>
        </w:rPr>
        <w:t xml:space="preserve"> – Contratista Oficina de Control Interno</w:t>
      </w:r>
    </w:p>
    <w:p w14:paraId="0FEFEA0C" w14:textId="77777777" w:rsidR="00C1295C" w:rsidRDefault="00C1295C">
      <w:pPr>
        <w:spacing w:line="276" w:lineRule="auto"/>
        <w:jc w:val="both"/>
        <w:rPr>
          <w:rFonts w:ascii="Helvetica Neue" w:eastAsia="Helvetica Neue" w:hAnsi="Helvetica Neue" w:cs="Helvetica Neue"/>
        </w:rPr>
      </w:pPr>
    </w:p>
    <w:p w14:paraId="01F28B81" w14:textId="77777777" w:rsidR="00C1295C" w:rsidRDefault="00C1295C">
      <w:pPr>
        <w:spacing w:line="276" w:lineRule="auto"/>
        <w:jc w:val="both"/>
        <w:rPr>
          <w:rFonts w:ascii="Helvetica Neue" w:eastAsia="Helvetica Neue" w:hAnsi="Helvetica Neue" w:cs="Helvetica Neue"/>
        </w:rPr>
      </w:pPr>
    </w:p>
    <w:p w14:paraId="50DE8FBB" w14:textId="77777777" w:rsidR="00C1295C" w:rsidRDefault="00C1295C">
      <w:pPr>
        <w:rPr>
          <w:rFonts w:ascii="Helvetica Neue" w:eastAsia="Helvetica Neue" w:hAnsi="Helvetica Neue" w:cs="Helvetica Neue"/>
        </w:rPr>
      </w:pPr>
    </w:p>
    <w:p w14:paraId="053CD7CD" w14:textId="77777777" w:rsidR="00C1295C" w:rsidRDefault="00C1295C">
      <w:pPr>
        <w:rPr>
          <w:rFonts w:ascii="Helvetica Neue" w:eastAsia="Helvetica Neue" w:hAnsi="Helvetica Neue" w:cs="Helvetica Neue"/>
        </w:rPr>
      </w:pPr>
      <w:bookmarkStart w:id="2" w:name="_heading=h.sbkdl9kueadr" w:colFirst="0" w:colLast="0"/>
      <w:bookmarkEnd w:id="2"/>
    </w:p>
    <w:sectPr w:rsidR="00C1295C">
      <w:headerReference w:type="default" r:id="rId7"/>
      <w:footerReference w:type="default" r:id="rId8"/>
      <w:pgSz w:w="12240" w:h="15840"/>
      <w:pgMar w:top="212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6F9EF" w14:textId="77777777" w:rsidR="0050331C" w:rsidRDefault="0050331C">
      <w:pPr>
        <w:spacing w:after="0" w:line="240" w:lineRule="auto"/>
      </w:pPr>
      <w:r>
        <w:separator/>
      </w:r>
    </w:p>
  </w:endnote>
  <w:endnote w:type="continuationSeparator" w:id="0">
    <w:p w14:paraId="12F7324C" w14:textId="77777777" w:rsidR="0050331C" w:rsidRDefault="005033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3 of 9 Barcode">
    <w:panose1 w:val="020B0604020202020204"/>
    <w:charset w:val="00"/>
    <w:family w:val="decorative"/>
    <w:pitch w:val="variable"/>
    <w:sig w:usb0="00000003" w:usb1="00000000" w:usb2="00000000" w:usb3="00000000" w:csb0="00000001" w:csb1="00000000"/>
  </w:font>
  <w:font w:name="Helvetica Neue">
    <w:panose1 w:val="02000503000000020004"/>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30184" w14:textId="77777777" w:rsidR="00C1295C" w:rsidRDefault="00000000">
    <w:pPr>
      <w:pBdr>
        <w:top w:val="nil"/>
        <w:left w:val="nil"/>
        <w:bottom w:val="nil"/>
        <w:right w:val="nil"/>
        <w:between w:val="nil"/>
      </w:pBdr>
      <w:tabs>
        <w:tab w:val="center" w:pos="4419"/>
        <w:tab w:val="right" w:pos="8838"/>
      </w:tabs>
      <w:spacing w:after="0" w:line="240" w:lineRule="auto"/>
      <w:jc w:val="right"/>
      <w:rPr>
        <w:color w:val="000000"/>
      </w:rPr>
    </w:pPr>
    <w:r>
      <w:rPr>
        <w:color w:val="000000"/>
      </w:rPr>
      <w:t xml:space="preserve">Página| </w:t>
    </w:r>
    <w:r>
      <w:rPr>
        <w:color w:val="000000"/>
      </w:rPr>
      <w:fldChar w:fldCharType="begin"/>
    </w:r>
    <w:r>
      <w:rPr>
        <w:color w:val="000000"/>
      </w:rPr>
      <w:instrText>PAGE</w:instrText>
    </w:r>
    <w:r>
      <w:rPr>
        <w:color w:val="000000"/>
      </w:rPr>
      <w:fldChar w:fldCharType="separate"/>
    </w:r>
    <w:r w:rsidR="00C31D82">
      <w:rPr>
        <w:noProof/>
        <w:color w:val="000000"/>
      </w:rPr>
      <w:t>1</w:t>
    </w:r>
    <w:r>
      <w:rPr>
        <w:color w:val="000000"/>
      </w:rPr>
      <w:fldChar w:fldCharType="end"/>
    </w:r>
    <w:r>
      <w:rPr>
        <w:color w:val="000000"/>
      </w:rPr>
      <w:t xml:space="preserve"> </w:t>
    </w:r>
    <w:r>
      <w:rPr>
        <w:noProof/>
      </w:rPr>
      <w:drawing>
        <wp:anchor distT="0" distB="0" distL="114300" distR="114300" simplePos="0" relativeHeight="251659264" behindDoc="0" locked="0" layoutInCell="1" hidden="0" allowOverlap="1" wp14:anchorId="455047F2" wp14:editId="33E4DF03">
          <wp:simplePos x="0" y="0"/>
          <wp:positionH relativeFrom="column">
            <wp:posOffset>-337183</wp:posOffset>
          </wp:positionH>
          <wp:positionV relativeFrom="paragraph">
            <wp:posOffset>1758314</wp:posOffset>
          </wp:positionV>
          <wp:extent cx="5612130" cy="3156585"/>
          <wp:effectExtent l="0" t="0" r="0" b="0"/>
          <wp:wrapSquare wrapText="bothSides" distT="0" distB="0" distL="114300" distR="114300"/>
          <wp:docPr id="1223101589"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
                  <a:srcRect/>
                  <a:stretch>
                    <a:fillRect/>
                  </a:stretch>
                </pic:blipFill>
                <pic:spPr>
                  <a:xfrm>
                    <a:off x="0" y="0"/>
                    <a:ext cx="5612130" cy="3156585"/>
                  </a:xfrm>
                  <a:prstGeom prst="rect">
                    <a:avLst/>
                  </a:prstGeom>
                  <a:ln/>
                </pic:spPr>
              </pic:pic>
            </a:graphicData>
          </a:graphic>
        </wp:anchor>
      </w:drawing>
    </w:r>
    <w:r>
      <w:rPr>
        <w:noProof/>
      </w:rPr>
      <w:drawing>
        <wp:anchor distT="0" distB="0" distL="114300" distR="114300" simplePos="0" relativeHeight="251660288" behindDoc="0" locked="0" layoutInCell="1" hidden="0" allowOverlap="1" wp14:anchorId="6E4C5698" wp14:editId="01A303A0">
          <wp:simplePos x="0" y="0"/>
          <wp:positionH relativeFrom="column">
            <wp:posOffset>-241934</wp:posOffset>
          </wp:positionH>
          <wp:positionV relativeFrom="paragraph">
            <wp:posOffset>-492124</wp:posOffset>
          </wp:positionV>
          <wp:extent cx="5297170" cy="914400"/>
          <wp:effectExtent l="0" t="0" r="0" b="0"/>
          <wp:wrapSquare wrapText="bothSides" distT="0" distB="0" distL="114300" distR="114300"/>
          <wp:docPr id="1223101590"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
                  <a:srcRect l="5432" t="28063" r="9028" b="45684"/>
                  <a:stretch>
                    <a:fillRect/>
                  </a:stretch>
                </pic:blipFill>
                <pic:spPr>
                  <a:xfrm>
                    <a:off x="0" y="0"/>
                    <a:ext cx="5297170" cy="914400"/>
                  </a:xfrm>
                  <a:prstGeom prst="rect">
                    <a:avLst/>
                  </a:prstGeom>
                  <a:ln/>
                </pic:spPr>
              </pic:pic>
            </a:graphicData>
          </a:graphic>
        </wp:anchor>
      </w:drawing>
    </w:r>
  </w:p>
  <w:p w14:paraId="62AE0130" w14:textId="77777777" w:rsidR="00C1295C" w:rsidRDefault="00C1295C">
    <w:pPr>
      <w:spacing w:after="0" w:line="276" w:lineRule="auto"/>
      <w:jc w:val="both"/>
      <w:rPr>
        <w:rFonts w:ascii="Helvetica Neue" w:eastAsia="Helvetica Neue" w:hAnsi="Helvetica Neue" w:cs="Helvetica Neu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BDF88E" w14:textId="77777777" w:rsidR="0050331C" w:rsidRDefault="0050331C">
      <w:pPr>
        <w:spacing w:after="0" w:line="240" w:lineRule="auto"/>
      </w:pPr>
      <w:r>
        <w:separator/>
      </w:r>
    </w:p>
  </w:footnote>
  <w:footnote w:type="continuationSeparator" w:id="0">
    <w:p w14:paraId="345FFA72" w14:textId="77777777" w:rsidR="0050331C" w:rsidRDefault="005033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CA6E2" w14:textId="77777777" w:rsidR="00C1295C" w:rsidRDefault="00000000">
    <w:pPr>
      <w:pBdr>
        <w:top w:val="nil"/>
        <w:left w:val="nil"/>
        <w:bottom w:val="nil"/>
        <w:right w:val="nil"/>
        <w:between w:val="nil"/>
      </w:pBdr>
      <w:tabs>
        <w:tab w:val="center" w:pos="4419"/>
        <w:tab w:val="right" w:pos="8838"/>
      </w:tabs>
      <w:spacing w:after="0" w:line="240" w:lineRule="auto"/>
      <w:rPr>
        <w:color w:val="000000"/>
      </w:rPr>
    </w:pPr>
    <w:r>
      <w:rPr>
        <w:noProof/>
      </w:rPr>
      <w:drawing>
        <wp:anchor distT="0" distB="0" distL="0" distR="0" simplePos="0" relativeHeight="251658240" behindDoc="1" locked="0" layoutInCell="1" hidden="0" allowOverlap="1" wp14:anchorId="217CD40E" wp14:editId="4CDFEB3C">
          <wp:simplePos x="0" y="0"/>
          <wp:positionH relativeFrom="column">
            <wp:posOffset>-1085849</wp:posOffset>
          </wp:positionH>
          <wp:positionV relativeFrom="paragraph">
            <wp:posOffset>-447674</wp:posOffset>
          </wp:positionV>
          <wp:extent cx="7805784" cy="12805568"/>
          <wp:effectExtent l="0" t="0" r="0" b="0"/>
          <wp:wrapNone/>
          <wp:docPr id="122310159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l="24" r="23"/>
                  <a:stretch>
                    <a:fillRect/>
                  </a:stretch>
                </pic:blipFill>
                <pic:spPr>
                  <a:xfrm>
                    <a:off x="0" y="0"/>
                    <a:ext cx="7805784" cy="12805568"/>
                  </a:xfrm>
                  <a:prstGeom prst="rect">
                    <a:avLst/>
                  </a:prstGeom>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295C"/>
    <w:rsid w:val="0050331C"/>
    <w:rsid w:val="00C1295C"/>
    <w:rsid w:val="00C31D8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4:docId w14:val="4AD17D2B"/>
  <w15:docId w15:val="{3E2A8B42-7E10-9445-A81E-3FF341878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s-CO" w:eastAsia="es-ES_trad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240" w:after="0"/>
      <w:outlineLvl w:val="0"/>
    </w:pPr>
    <w:rPr>
      <w:color w:val="2F5496"/>
      <w:sz w:val="32"/>
      <w:szCs w:val="32"/>
    </w:rPr>
  </w:style>
  <w:style w:type="paragraph" w:styleId="Ttulo2">
    <w:name w:val="heading 2"/>
    <w:basedOn w:val="Normal"/>
    <w:next w:val="Normal"/>
    <w:uiPriority w:val="9"/>
    <w:semiHidden/>
    <w:unhideWhenUsed/>
    <w:qFormat/>
    <w:pPr>
      <w:keepNext/>
      <w:keepLines/>
      <w:spacing w:before="40" w:after="0"/>
      <w:outlineLvl w:val="1"/>
    </w:pPr>
    <w:rPr>
      <w:color w:val="2F5496"/>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757B3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57B36"/>
  </w:style>
  <w:style w:type="paragraph" w:styleId="Piedepgina">
    <w:name w:val="footer"/>
    <w:basedOn w:val="Normal"/>
    <w:link w:val="PiedepginaCar"/>
    <w:uiPriority w:val="99"/>
    <w:unhideWhenUsed/>
    <w:rsid w:val="00757B3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57B36"/>
  </w:style>
  <w:style w:type="character" w:styleId="Hipervnculo">
    <w:name w:val="Hyperlink"/>
    <w:basedOn w:val="Fuentedeprrafopredeter"/>
    <w:uiPriority w:val="99"/>
    <w:unhideWhenUsed/>
    <w:rsid w:val="00757B36"/>
    <w:rPr>
      <w:color w:val="0563C1" w:themeColor="hyperlink"/>
      <w:u w:val="single"/>
    </w:rPr>
  </w:style>
  <w:style w:type="character" w:customStyle="1" w:styleId="Mencinsinresolver1">
    <w:name w:val="Mención sin resolver1"/>
    <w:basedOn w:val="Fuentedeprrafopredeter"/>
    <w:uiPriority w:val="99"/>
    <w:semiHidden/>
    <w:unhideWhenUsed/>
    <w:rsid w:val="00757B36"/>
    <w:rPr>
      <w:color w:val="605E5C"/>
      <w:shd w:val="clear" w:color="auto" w:fill="E1DFDD"/>
    </w:rPr>
  </w:style>
  <w:style w:type="paragraph" w:styleId="Prrafodelista">
    <w:name w:val="List Paragraph"/>
    <w:basedOn w:val="Normal"/>
    <w:uiPriority w:val="34"/>
    <w:qFormat/>
    <w:rsid w:val="00757B36"/>
    <w:pPr>
      <w:ind w:left="720"/>
      <w:contextualSpacing/>
    </w:pPr>
  </w:style>
  <w:style w:type="character" w:customStyle="1" w:styleId="Ttulo1Car">
    <w:name w:val="Título 1 Car"/>
    <w:basedOn w:val="Fuentedeprrafopredeter"/>
    <w:uiPriority w:val="9"/>
    <w:rsid w:val="00083A3F"/>
    <w:rPr>
      <w:rFonts w:asciiTheme="majorHAnsi" w:eastAsiaTheme="majorEastAsia" w:hAnsiTheme="majorHAnsi" w:cstheme="majorBidi"/>
      <w:color w:val="2F5496" w:themeColor="accent1" w:themeShade="BF"/>
      <w:sz w:val="32"/>
      <w:szCs w:val="32"/>
    </w:rPr>
  </w:style>
  <w:style w:type="character" w:customStyle="1" w:styleId="Ttulo2Car">
    <w:name w:val="Título 2 Car"/>
    <w:basedOn w:val="Fuentedeprrafopredeter"/>
    <w:uiPriority w:val="9"/>
    <w:rsid w:val="00083A3F"/>
    <w:rPr>
      <w:rFonts w:asciiTheme="majorHAnsi" w:eastAsiaTheme="majorEastAsia" w:hAnsiTheme="majorHAnsi" w:cstheme="majorBidi"/>
      <w:color w:val="2F5496" w:themeColor="accent1" w:themeShade="BF"/>
      <w:sz w:val="26"/>
      <w:szCs w:val="26"/>
    </w:rPr>
  </w:style>
  <w:style w:type="paragraph" w:styleId="Encabezadodemensaje">
    <w:name w:val="Message Header"/>
    <w:basedOn w:val="Normal"/>
    <w:link w:val="EncabezadodemensajeCar"/>
    <w:uiPriority w:val="99"/>
    <w:unhideWhenUsed/>
    <w:rsid w:val="00083A3F"/>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EncabezadodemensajeCar">
    <w:name w:val="Encabezado de mensaje Car"/>
    <w:basedOn w:val="Fuentedeprrafopredeter"/>
    <w:link w:val="Encabezadodemensaje"/>
    <w:uiPriority w:val="99"/>
    <w:rsid w:val="00083A3F"/>
    <w:rPr>
      <w:rFonts w:asciiTheme="majorHAnsi" w:eastAsiaTheme="majorEastAsia" w:hAnsiTheme="majorHAnsi" w:cstheme="majorBidi"/>
      <w:sz w:val="24"/>
      <w:szCs w:val="24"/>
      <w:shd w:val="pct20" w:color="auto" w:fill="auto"/>
    </w:rPr>
  </w:style>
  <w:style w:type="paragraph" w:styleId="Textoindependiente">
    <w:name w:val="Body Text"/>
    <w:basedOn w:val="Normal"/>
    <w:link w:val="TextoindependienteCar"/>
    <w:uiPriority w:val="99"/>
    <w:unhideWhenUsed/>
    <w:rsid w:val="00083A3F"/>
    <w:pPr>
      <w:spacing w:after="120"/>
    </w:pPr>
  </w:style>
  <w:style w:type="character" w:customStyle="1" w:styleId="TextoindependienteCar">
    <w:name w:val="Texto independiente Car"/>
    <w:basedOn w:val="Fuentedeprrafopredeter"/>
    <w:link w:val="Textoindependiente"/>
    <w:uiPriority w:val="99"/>
    <w:rsid w:val="00083A3F"/>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64354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0/KO9OhiYZnt8XVDy822Mn+/5rg==">CgMxLjAyCWguMzBqMHpsbDIJaC4xZm9iOXRlMg5oLnNia2RsOWt1ZWFkcjgAciExeVJGYVd2amoyWFJUU0ZwZE55cURFcmRJOHRWQnI1V0U=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412</Words>
  <Characters>2271</Characters>
  <Application>Microsoft Office Word</Application>
  <DocSecurity>0</DocSecurity>
  <Lines>18</Lines>
  <Paragraphs>5</Paragraphs>
  <ScaleCrop>false</ScaleCrop>
  <Company/>
  <LinksUpToDate>false</LinksUpToDate>
  <CharactersWithSpaces>2678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William Camilo  Baracaldo Godoy</dc:creator>
  <cp:lastModifiedBy>Laura Vanessa Orjuela Barahona</cp:lastModifiedBy>
  <cp:revision>2</cp:revision>
  <dcterms:created xsi:type="dcterms:W3CDTF">2026-04-04T03:24:00Z</dcterms:created>
  <dcterms:modified xsi:type="dcterms:W3CDTF">2026-04-04T03:24:00Z</dcterms:modified>
</cp:coreProperties>
</file>